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8E4A21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045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F7045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8688B">
        <w:rPr>
          <w:sz w:val="28"/>
          <w:szCs w:val="28"/>
        </w:rPr>
        <w:t>2</w:t>
      </w:r>
      <w:r w:rsidR="00301B1B">
        <w:rPr>
          <w:sz w:val="28"/>
          <w:szCs w:val="28"/>
        </w:rPr>
        <w:t>9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3877A2" w:rsidRDefault="00301B1B" w:rsidP="00301B1B">
            <w:pPr>
              <w:pStyle w:val="17"/>
              <w:keepNext/>
              <w:keepLines/>
              <w:shd w:val="clear" w:color="auto" w:fill="auto"/>
              <w:spacing w:after="0" w:line="240" w:lineRule="exact"/>
              <w:jc w:val="both"/>
              <w:outlineLvl w:val="9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О внесении изменений в  реш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ние Думы Поддорского муниц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пального района от  29.11.2016 № 87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Default="00031DA6" w:rsidP="00031DA6">
      <w:pPr>
        <w:ind w:firstLine="708"/>
        <w:jc w:val="both"/>
        <w:rPr>
          <w:color w:val="000000"/>
          <w:sz w:val="28"/>
          <w:szCs w:val="28"/>
        </w:rPr>
      </w:pPr>
    </w:p>
    <w:p w:rsidR="00301B1B" w:rsidRPr="00A06392" w:rsidRDefault="00301B1B" w:rsidP="00301B1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NSimSun" w:hAnsi="Times New Roman" w:cs="Times New Roman"/>
          <w:sz w:val="28"/>
          <w:szCs w:val="28"/>
        </w:rPr>
        <w:t xml:space="preserve">В соответствии с </w:t>
      </w:r>
      <w:r w:rsidRPr="00A06392">
        <w:rPr>
          <w:rFonts w:ascii="Times New Roman" w:eastAsia="NSimSun" w:hAnsi="Times New Roman" w:cs="Times New Roman"/>
          <w:sz w:val="28"/>
          <w:szCs w:val="28"/>
        </w:rPr>
        <w:t xml:space="preserve">Федеральным законом </w:t>
      </w:r>
      <w:r w:rsidRPr="00A06392">
        <w:rPr>
          <w:rFonts w:ascii="Times New Roman" w:eastAsia="NSimSun" w:hAnsi="Times New Roman" w:cs="Times New Roman"/>
          <w:sz w:val="28"/>
          <w:szCs w:val="28"/>
          <w:lang w:eastAsia="ar-SA"/>
        </w:rPr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A063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1B1B" w:rsidRPr="003F2389" w:rsidRDefault="00301B1B" w:rsidP="00301B1B">
      <w:pPr>
        <w:jc w:val="both"/>
        <w:rPr>
          <w:sz w:val="28"/>
        </w:rPr>
      </w:pPr>
      <w:r w:rsidRPr="003F2389">
        <w:rPr>
          <w:sz w:val="28"/>
        </w:rPr>
        <w:tab/>
        <w:t>Дума Поддорского муниципального района</w:t>
      </w:r>
    </w:p>
    <w:p w:rsidR="00301B1B" w:rsidRPr="003F2389" w:rsidRDefault="00301B1B" w:rsidP="00301B1B">
      <w:pPr>
        <w:jc w:val="both"/>
        <w:rPr>
          <w:b/>
          <w:bCs/>
          <w:sz w:val="28"/>
        </w:rPr>
      </w:pPr>
      <w:r w:rsidRPr="003F2389">
        <w:rPr>
          <w:b/>
          <w:bCs/>
          <w:sz w:val="28"/>
        </w:rPr>
        <w:t>РЕШИЛА:</w:t>
      </w:r>
    </w:p>
    <w:p w:rsidR="00301B1B" w:rsidRDefault="00301B1B" w:rsidP="00301B1B">
      <w:pPr>
        <w:pStyle w:val="Style5"/>
        <w:widowControl/>
        <w:tabs>
          <w:tab w:val="left" w:pos="845"/>
        </w:tabs>
        <w:spacing w:line="240" w:lineRule="auto"/>
        <w:rPr>
          <w:sz w:val="28"/>
          <w:szCs w:val="28"/>
        </w:rPr>
      </w:pPr>
      <w:r>
        <w:rPr>
          <w:rStyle w:val="FontStyle12"/>
          <w:sz w:val="28"/>
          <w:szCs w:val="28"/>
        </w:rPr>
        <w:t xml:space="preserve">1. Внести изменения в решение Думы Поддорского муниципального района  от 29.11.2016 № 87 «Об утверждении </w:t>
      </w:r>
      <w:r>
        <w:rPr>
          <w:sz w:val="28"/>
          <w:szCs w:val="28"/>
        </w:rPr>
        <w:t>Положения</w:t>
      </w:r>
      <w:r w:rsidRPr="009B7009">
        <w:rPr>
          <w:sz w:val="28"/>
          <w:szCs w:val="28"/>
        </w:rPr>
        <w:t xml:space="preserve"> о дополнительном пенсионном обеспечении лиц, осуществлявших полномочия депутата, члена выборного органа местного самоуправления, выборного должностного лица местного самоуправл</w:t>
      </w:r>
      <w:r w:rsidRPr="009B7009">
        <w:rPr>
          <w:sz w:val="28"/>
          <w:szCs w:val="28"/>
        </w:rPr>
        <w:t>е</w:t>
      </w:r>
      <w:r w:rsidRPr="009B7009">
        <w:rPr>
          <w:sz w:val="28"/>
          <w:szCs w:val="28"/>
        </w:rPr>
        <w:t>ния на постоянной (штатной) основе в органах местного самоуправления Поддо</w:t>
      </w:r>
      <w:r w:rsidRPr="009B7009">
        <w:rPr>
          <w:sz w:val="28"/>
          <w:szCs w:val="28"/>
        </w:rPr>
        <w:t>р</w:t>
      </w:r>
      <w:r w:rsidRPr="009B7009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».</w:t>
      </w:r>
    </w:p>
    <w:p w:rsidR="00301B1B" w:rsidRPr="003434CD" w:rsidRDefault="00301B1B" w:rsidP="00301B1B">
      <w:pPr>
        <w:pStyle w:val="Style5"/>
        <w:widowControl/>
        <w:tabs>
          <w:tab w:val="left" w:pos="8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 В Названии постановления и пункте 1 решения Думы Поддорского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в пункте 1 Положения  слова  «…</w:t>
      </w:r>
      <w:r w:rsidRPr="00A06392">
        <w:rPr>
          <w:sz w:val="28"/>
          <w:szCs w:val="28"/>
        </w:rPr>
        <w:t>депутата, члена выборн</w:t>
      </w:r>
      <w:r w:rsidRPr="00A06392">
        <w:rPr>
          <w:sz w:val="28"/>
          <w:szCs w:val="28"/>
        </w:rPr>
        <w:t>о</w:t>
      </w:r>
      <w:r w:rsidRPr="00A06392">
        <w:rPr>
          <w:sz w:val="28"/>
          <w:szCs w:val="28"/>
        </w:rPr>
        <w:t>го органа местного самоуправления, выборного должностного лица местного с</w:t>
      </w:r>
      <w:r w:rsidRPr="00A06392">
        <w:rPr>
          <w:sz w:val="28"/>
          <w:szCs w:val="28"/>
        </w:rPr>
        <w:t>а</w:t>
      </w:r>
      <w:r w:rsidRPr="00A06392">
        <w:rPr>
          <w:sz w:val="28"/>
          <w:szCs w:val="28"/>
        </w:rPr>
        <w:t>моуправления на постоянной (штатной) основе</w:t>
      </w:r>
      <w:r>
        <w:rPr>
          <w:sz w:val="28"/>
          <w:szCs w:val="28"/>
        </w:rPr>
        <w:t xml:space="preserve">…» читать </w:t>
      </w:r>
      <w:r w:rsidRPr="003434CD">
        <w:rPr>
          <w:sz w:val="28"/>
          <w:szCs w:val="28"/>
        </w:rPr>
        <w:t>как «…выборного должностного лица местного самоуправления на постоянной (штатной) основе, лиц, замещающих муниципальные должности…».</w:t>
      </w:r>
    </w:p>
    <w:p w:rsidR="00301B1B" w:rsidRPr="003434CD" w:rsidRDefault="00301B1B" w:rsidP="00301B1B">
      <w:pPr>
        <w:pStyle w:val="Style5"/>
        <w:widowControl/>
        <w:tabs>
          <w:tab w:val="left" w:pos="845"/>
        </w:tabs>
        <w:spacing w:line="240" w:lineRule="auto"/>
        <w:rPr>
          <w:sz w:val="28"/>
          <w:szCs w:val="28"/>
        </w:rPr>
      </w:pPr>
      <w:r w:rsidRPr="003434CD">
        <w:rPr>
          <w:sz w:val="28"/>
          <w:szCs w:val="28"/>
        </w:rPr>
        <w:t>2. Изложить приложение 1 в новой редакции.</w:t>
      </w:r>
    </w:p>
    <w:p w:rsidR="00301B1B" w:rsidRPr="003434CD" w:rsidRDefault="00301B1B" w:rsidP="00301B1B">
      <w:pPr>
        <w:pStyle w:val="Style5"/>
        <w:widowControl/>
        <w:tabs>
          <w:tab w:val="left" w:pos="845"/>
        </w:tabs>
        <w:spacing w:line="240" w:lineRule="auto"/>
        <w:rPr>
          <w:rStyle w:val="FontStyle12"/>
          <w:sz w:val="28"/>
          <w:szCs w:val="28"/>
        </w:rPr>
      </w:pPr>
      <w:r w:rsidRPr="003434CD">
        <w:rPr>
          <w:sz w:val="28"/>
          <w:szCs w:val="28"/>
        </w:rPr>
        <w:t>3. Дополнить  Положение приложением 2</w:t>
      </w:r>
      <w:r>
        <w:rPr>
          <w:sz w:val="28"/>
          <w:szCs w:val="28"/>
        </w:rPr>
        <w:t>.</w:t>
      </w:r>
    </w:p>
    <w:p w:rsidR="00301B1B" w:rsidRDefault="00301B1B" w:rsidP="00301B1B">
      <w:pPr>
        <w:pStyle w:val="Style5"/>
        <w:widowControl/>
        <w:tabs>
          <w:tab w:val="left" w:pos="845"/>
        </w:tabs>
        <w:spacing w:line="240" w:lineRule="auto"/>
        <w:ind w:firstLine="571"/>
        <w:rPr>
          <w:rStyle w:val="FontStyle12"/>
          <w:sz w:val="28"/>
          <w:szCs w:val="28"/>
        </w:rPr>
      </w:pPr>
      <w:r w:rsidRPr="003434CD">
        <w:rPr>
          <w:rStyle w:val="FontStyle12"/>
          <w:sz w:val="28"/>
          <w:szCs w:val="28"/>
        </w:rPr>
        <w:t>2.Опубликовать решение Думы в муниципальной газете «Вестник Поддо</w:t>
      </w:r>
      <w:r w:rsidRPr="003434CD">
        <w:rPr>
          <w:rStyle w:val="FontStyle12"/>
          <w:sz w:val="28"/>
          <w:szCs w:val="28"/>
        </w:rPr>
        <w:t>р</w:t>
      </w:r>
      <w:r w:rsidRPr="003434CD">
        <w:rPr>
          <w:rStyle w:val="FontStyle12"/>
          <w:sz w:val="28"/>
          <w:szCs w:val="28"/>
        </w:rPr>
        <w:t>ского муниципального района».</w:t>
      </w:r>
    </w:p>
    <w:p w:rsidR="00301B1B" w:rsidRPr="003434CD" w:rsidRDefault="00301B1B" w:rsidP="00301B1B">
      <w:pPr>
        <w:pStyle w:val="Style5"/>
        <w:widowControl/>
        <w:tabs>
          <w:tab w:val="left" w:pos="845"/>
        </w:tabs>
        <w:spacing w:line="240" w:lineRule="auto"/>
        <w:ind w:firstLine="571"/>
        <w:rPr>
          <w:rStyle w:val="FontStyle12"/>
          <w:sz w:val="28"/>
          <w:szCs w:val="28"/>
        </w:rPr>
      </w:pPr>
    </w:p>
    <w:p w:rsidR="00301B1B" w:rsidRDefault="00301B1B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301B1B" w:rsidRDefault="00301B1B" w:rsidP="007816B7">
      <w:pPr>
        <w:spacing w:line="240" w:lineRule="exact"/>
        <w:rPr>
          <w:b/>
          <w:sz w:val="28"/>
          <w:szCs w:val="28"/>
        </w:rPr>
      </w:pPr>
    </w:p>
    <w:p w:rsidR="00301B1B" w:rsidRDefault="00301B1B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301B1B" w:rsidRPr="003434CD" w:rsidRDefault="004D6327" w:rsidP="00301B1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01B1B" w:rsidRPr="003434CD">
        <w:rPr>
          <w:sz w:val="28"/>
          <w:szCs w:val="28"/>
        </w:rPr>
        <w:lastRenderedPageBreak/>
        <w:t>Приложение № 1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к Положению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о дополнительном пенсионном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обеспечении лиц, осуществлявших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полномочия выборного должностного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лица местного самоуправления на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постоянной (штатной) основе,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лиц, замещающих муниципальные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должности в органах местного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 xml:space="preserve">самоуправления </w:t>
      </w:r>
      <w:r w:rsidRPr="00501725">
        <w:rPr>
          <w:sz w:val="28"/>
          <w:szCs w:val="28"/>
        </w:rPr>
        <w:t>Поддорского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муниципального района</w:t>
      </w:r>
    </w:p>
    <w:p w:rsidR="00301B1B" w:rsidRDefault="00301B1B" w:rsidP="00301B1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B1B" w:rsidRDefault="00301B1B" w:rsidP="00301B1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(наименование органа местного самоуправления)</w:t>
      </w: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от ________________________________________</w:t>
      </w:r>
    </w:p>
    <w:p w:rsidR="00301B1B" w:rsidRPr="00501725" w:rsidRDefault="00301B1B" w:rsidP="00301B1B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(фамилия, имя, отчество заявителя)</w:t>
      </w: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301B1B" w:rsidRPr="00501725" w:rsidRDefault="00301B1B" w:rsidP="00301B1B">
      <w:pPr>
        <w:autoSpaceDE w:val="0"/>
        <w:autoSpaceDN w:val="0"/>
        <w:adjustRightInd w:val="0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(должность заявителя)</w:t>
      </w: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Домашний адрес (почтовый индекс) __________</w:t>
      </w: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___________________________________________</w:t>
      </w: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телефон ________________________</w:t>
      </w:r>
    </w:p>
    <w:p w:rsidR="00301B1B" w:rsidRPr="00501725" w:rsidRDefault="00301B1B" w:rsidP="00301B1B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301B1B" w:rsidRPr="00501725" w:rsidRDefault="00301B1B" w:rsidP="00301B1B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>ЗАЯВЛЕНИЕ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01B1B" w:rsidRPr="00501725" w:rsidRDefault="00301B1B" w:rsidP="00301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725">
        <w:rPr>
          <w:rFonts w:eastAsia="Calibri"/>
          <w:sz w:val="28"/>
          <w:szCs w:val="28"/>
          <w:lang w:eastAsia="en-US"/>
        </w:rPr>
        <w:t xml:space="preserve">В соответствии с ПОЛОЖЕНИЕМ </w:t>
      </w:r>
      <w:r w:rsidRPr="00501725">
        <w:rPr>
          <w:sz w:val="28"/>
          <w:szCs w:val="28"/>
        </w:rPr>
        <w:t>о дополнительном пенсионном обесп</w:t>
      </w:r>
      <w:r w:rsidRPr="00501725">
        <w:rPr>
          <w:sz w:val="28"/>
          <w:szCs w:val="28"/>
        </w:rPr>
        <w:t>е</w:t>
      </w:r>
      <w:r w:rsidRPr="00501725">
        <w:rPr>
          <w:sz w:val="28"/>
          <w:szCs w:val="28"/>
        </w:rPr>
        <w:t xml:space="preserve">чении лиц, осуществлявших полномочия </w:t>
      </w:r>
      <w:r w:rsidRPr="00501725">
        <w:rPr>
          <w:rFonts w:eastAsia="Calibri"/>
          <w:sz w:val="28"/>
          <w:szCs w:val="28"/>
          <w:lang w:eastAsia="en-US"/>
        </w:rPr>
        <w:t>выборного должностного лица местного самоуправления на постоянной (штатной) основе, лиц, замещающих муниц</w:t>
      </w:r>
      <w:r w:rsidRPr="00501725">
        <w:rPr>
          <w:rFonts w:eastAsia="Calibri"/>
          <w:sz w:val="28"/>
          <w:szCs w:val="28"/>
          <w:lang w:eastAsia="en-US"/>
        </w:rPr>
        <w:t>и</w:t>
      </w:r>
      <w:r w:rsidRPr="00501725">
        <w:rPr>
          <w:rFonts w:eastAsia="Calibri"/>
          <w:sz w:val="28"/>
          <w:szCs w:val="28"/>
          <w:lang w:eastAsia="en-US"/>
        </w:rPr>
        <w:t xml:space="preserve">пальные должности </w:t>
      </w:r>
      <w:r w:rsidRPr="00501725">
        <w:rPr>
          <w:sz w:val="28"/>
          <w:szCs w:val="28"/>
        </w:rPr>
        <w:t>в органах местного самоуправления Поддорского муниц</w:t>
      </w:r>
      <w:r w:rsidRPr="00501725">
        <w:rPr>
          <w:sz w:val="28"/>
          <w:szCs w:val="28"/>
        </w:rPr>
        <w:t>и</w:t>
      </w:r>
      <w:r w:rsidRPr="00501725">
        <w:rPr>
          <w:sz w:val="28"/>
          <w:szCs w:val="28"/>
        </w:rPr>
        <w:t xml:space="preserve">пального района, </w:t>
      </w:r>
      <w:r w:rsidRPr="00501725">
        <w:rPr>
          <w:rFonts w:eastAsia="Calibri"/>
          <w:sz w:val="28"/>
          <w:szCs w:val="28"/>
          <w:lang w:eastAsia="en-US"/>
        </w:rPr>
        <w:t>утвержденному решением Думы Поддорского муниципального района  от 29.11.2016 № 87</w:t>
      </w:r>
      <w:r w:rsidRPr="00501725">
        <w:rPr>
          <w:sz w:val="28"/>
          <w:szCs w:val="28"/>
        </w:rPr>
        <w:t xml:space="preserve"> </w:t>
      </w:r>
      <w:r w:rsidRPr="00501725">
        <w:rPr>
          <w:rFonts w:eastAsia="Calibri"/>
          <w:sz w:val="28"/>
          <w:szCs w:val="28"/>
          <w:lang w:eastAsia="en-US"/>
        </w:rPr>
        <w:t>(далее Положение)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>прошу  назначить мне дополнительное пенсионное обеспечение.</w:t>
      </w:r>
    </w:p>
    <w:p w:rsidR="00301B1B" w:rsidRPr="00501725" w:rsidRDefault="00301B1B" w:rsidP="00301B1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 xml:space="preserve">На  основании  Федерального  </w:t>
      </w:r>
      <w:hyperlink r:id="rId9" w:history="1">
        <w:r w:rsidRPr="00501725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501725">
        <w:rPr>
          <w:rFonts w:eastAsia="Calibri"/>
          <w:sz w:val="28"/>
          <w:szCs w:val="28"/>
          <w:lang w:eastAsia="en-US"/>
        </w:rPr>
        <w:t xml:space="preserve"> от 28 декабря 2013 года N 400-ФЗ "О страховых  пенсиях" (до 01.01.2015 - на основании Федерального </w:t>
      </w:r>
      <w:hyperlink r:id="rId10" w:history="1">
        <w:r w:rsidRPr="00501725">
          <w:rPr>
            <w:rFonts w:eastAsia="Calibri"/>
            <w:sz w:val="28"/>
            <w:szCs w:val="28"/>
            <w:lang w:eastAsia="en-US"/>
          </w:rPr>
          <w:t>закона</w:t>
        </w:r>
      </w:hyperlink>
      <w:r w:rsidRPr="00501725">
        <w:rPr>
          <w:rFonts w:eastAsia="Calibri"/>
          <w:sz w:val="28"/>
          <w:szCs w:val="28"/>
          <w:lang w:eastAsia="en-US"/>
        </w:rPr>
        <w:t xml:space="preserve"> от 17декабря 2001 года N 173-ФЗ "О трудовых пенсиях")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 xml:space="preserve">            На  основании  Федерального  закона от 19 апреля 1991 года N 1032-1 "О занятости населения в Российской Федерации" (нужное подчеркнуть)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 xml:space="preserve"> с "_____" ________________20____ года мне назнач</w:t>
      </w:r>
      <w:r w:rsidRPr="00501725">
        <w:rPr>
          <w:rFonts w:eastAsia="Calibri"/>
          <w:sz w:val="28"/>
          <w:szCs w:val="28"/>
          <w:lang w:eastAsia="en-US"/>
        </w:rPr>
        <w:t>е</w:t>
      </w:r>
      <w:r w:rsidRPr="00501725">
        <w:rPr>
          <w:rFonts w:eastAsia="Calibri"/>
          <w:sz w:val="28"/>
          <w:szCs w:val="28"/>
          <w:lang w:eastAsia="en-US"/>
        </w:rPr>
        <w:t>на__________________________________, которую получаю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(вид пенсии)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>___________________________________________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 xml:space="preserve">                                          (наименование органа, осуществляющего назначение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>__________________________________________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 xml:space="preserve">                                              и выплату страховых пенсий по месту жительства)</w:t>
      </w: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t xml:space="preserve">              При наступлении обстоятельств, обозначенных  в пунктах 5.8.,  5.9., 5.10.4.  Положения обязуюсь в 10-тидневный срок известить в письменной форме уполномоченный орган Поддорского муниципального района, по решению в</w:t>
      </w:r>
      <w:r w:rsidRPr="00501725">
        <w:rPr>
          <w:rFonts w:eastAsia="Calibri"/>
          <w:sz w:val="28"/>
          <w:szCs w:val="28"/>
          <w:lang w:eastAsia="en-US"/>
        </w:rPr>
        <w:t>о</w:t>
      </w:r>
      <w:r w:rsidRPr="00501725">
        <w:rPr>
          <w:rFonts w:eastAsia="Calibri"/>
          <w:sz w:val="28"/>
          <w:szCs w:val="28"/>
          <w:lang w:eastAsia="en-US"/>
        </w:rPr>
        <w:t>просов начисления и выплаты дополнительного пенсионного обеспечения о да</w:t>
      </w:r>
      <w:r w:rsidRPr="00501725">
        <w:rPr>
          <w:rFonts w:eastAsia="Calibri"/>
          <w:sz w:val="28"/>
          <w:szCs w:val="28"/>
          <w:lang w:eastAsia="en-US"/>
        </w:rPr>
        <w:t>н</w:t>
      </w:r>
      <w:r w:rsidRPr="00501725">
        <w:rPr>
          <w:rFonts w:eastAsia="Calibri"/>
          <w:sz w:val="28"/>
          <w:szCs w:val="28"/>
          <w:lang w:eastAsia="en-US"/>
        </w:rPr>
        <w:t>ных обстоятельствах.</w:t>
      </w:r>
    </w:p>
    <w:p w:rsidR="00301B1B" w:rsidRDefault="00301B1B" w:rsidP="00301B1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501725">
        <w:rPr>
          <w:rFonts w:eastAsia="Calibri"/>
          <w:sz w:val="28"/>
          <w:szCs w:val="28"/>
          <w:lang w:eastAsia="en-US"/>
        </w:rPr>
        <w:lastRenderedPageBreak/>
        <w:t xml:space="preserve">           В случае, если обстоятельства, обозначенные  в пунктах 5.8., 5.10.4.  Пол</w:t>
      </w:r>
      <w:r w:rsidRPr="00501725">
        <w:rPr>
          <w:rFonts w:eastAsia="Calibri"/>
          <w:sz w:val="28"/>
          <w:szCs w:val="28"/>
          <w:lang w:eastAsia="en-US"/>
        </w:rPr>
        <w:t>о</w:t>
      </w:r>
      <w:r w:rsidRPr="00501725">
        <w:rPr>
          <w:rFonts w:eastAsia="Calibri"/>
          <w:sz w:val="28"/>
          <w:szCs w:val="28"/>
          <w:lang w:eastAsia="en-US"/>
        </w:rPr>
        <w:t>жения имеют место на день написания мною данного заявления, я обязуюсь нести ответственность за сокрытие данных обстоятельств, в соответствии с действу</w:t>
      </w:r>
      <w:r w:rsidRPr="00501725">
        <w:rPr>
          <w:rFonts w:eastAsia="Calibri"/>
          <w:sz w:val="28"/>
          <w:szCs w:val="28"/>
          <w:lang w:eastAsia="en-US"/>
        </w:rPr>
        <w:t>ю</w:t>
      </w:r>
      <w:r w:rsidRPr="00501725">
        <w:rPr>
          <w:rFonts w:eastAsia="Calibri"/>
          <w:sz w:val="28"/>
          <w:szCs w:val="28"/>
          <w:lang w:eastAsia="en-US"/>
        </w:rPr>
        <w:t>щим законодательством</w:t>
      </w:r>
      <w:r w:rsidRPr="00501725">
        <w:rPr>
          <w:rFonts w:eastAsia="Calibri"/>
          <w:lang w:eastAsia="en-US"/>
        </w:rPr>
        <w:t xml:space="preserve"> РФ.</w:t>
      </w:r>
    </w:p>
    <w:p w:rsidR="00301B1B" w:rsidRDefault="00301B1B" w:rsidP="00301B1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01B1B" w:rsidRPr="00501725" w:rsidRDefault="00301B1B" w:rsidP="00301B1B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01725">
        <w:rPr>
          <w:rFonts w:eastAsia="Calibri"/>
          <w:sz w:val="20"/>
          <w:szCs w:val="20"/>
          <w:lang w:eastAsia="en-US"/>
        </w:rPr>
        <w:t>"____" ______________ 20___ г.       _____________________________                                                                         (подпись заявителя)</w:t>
      </w:r>
    </w:p>
    <w:p w:rsidR="00301B1B" w:rsidRDefault="00301B1B" w:rsidP="00301B1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1B1B" w:rsidRPr="003434CD" w:rsidRDefault="00301B1B" w:rsidP="00301B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01B1B" w:rsidRDefault="00301B1B" w:rsidP="00301B1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01B1B" w:rsidRDefault="00301B1B" w:rsidP="00301B1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01B1B" w:rsidRDefault="00301B1B" w:rsidP="00301B1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01B1B" w:rsidRDefault="00301B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  <w:r w:rsidRPr="003434CD">
        <w:rPr>
          <w:sz w:val="28"/>
          <w:szCs w:val="28"/>
        </w:rPr>
        <w:lastRenderedPageBreak/>
        <w:t>Приложение № 2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к Положению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о дополнительном пенсионном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обеспечении лиц, осуществлявших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полномочия выборного должностного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лица местного самоуправления на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постоянной (штатной) основе,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лиц, замещающих муниципальные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должности в органах местного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>Поддорского</w:t>
      </w:r>
    </w:p>
    <w:p w:rsidR="00301B1B" w:rsidRPr="003434CD" w:rsidRDefault="00301B1B" w:rsidP="00301B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3434CD">
        <w:rPr>
          <w:sz w:val="28"/>
          <w:szCs w:val="28"/>
        </w:rPr>
        <w:t>муниципального района</w:t>
      </w:r>
    </w:p>
    <w:p w:rsidR="00301B1B" w:rsidRPr="003434CD" w:rsidRDefault="00301B1B" w:rsidP="00301B1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133"/>
        <w:gridCol w:w="340"/>
        <w:gridCol w:w="2505"/>
        <w:gridCol w:w="794"/>
        <w:gridCol w:w="1020"/>
        <w:gridCol w:w="340"/>
        <w:gridCol w:w="1361"/>
        <w:gridCol w:w="763"/>
        <w:gridCol w:w="144"/>
      </w:tblGrid>
      <w:tr w:rsidR="00301B1B" w:rsidRPr="003434CD" w:rsidTr="005D151D">
        <w:tc>
          <w:tcPr>
            <w:tcW w:w="9080" w:type="dxa"/>
            <w:gridSpan w:val="10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Согласие</w:t>
            </w:r>
          </w:p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на обработку персональных данных</w:t>
            </w:r>
          </w:p>
        </w:tc>
      </w:tr>
      <w:tr w:rsidR="00301B1B" w:rsidRPr="003434CD" w:rsidTr="005D151D">
        <w:tc>
          <w:tcPr>
            <w:tcW w:w="9080" w:type="dxa"/>
            <w:gridSpan w:val="10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"___" _______________ 20___ года</w:t>
            </w:r>
          </w:p>
        </w:tc>
      </w:tr>
      <w:tr w:rsidR="00301B1B" w:rsidRPr="003434CD" w:rsidTr="005D151D">
        <w:tc>
          <w:tcPr>
            <w:tcW w:w="680" w:type="dxa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8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01B1B" w:rsidRPr="003434CD" w:rsidTr="005D151D">
        <w:tc>
          <w:tcPr>
            <w:tcW w:w="680" w:type="dxa"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(ФИО)</w:t>
            </w:r>
          </w:p>
        </w:tc>
      </w:tr>
      <w:tr w:rsidR="00301B1B" w:rsidRPr="003434CD" w:rsidTr="005D151D">
        <w:tc>
          <w:tcPr>
            <w:tcW w:w="46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серия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gridSpan w:val="2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выдан</w:t>
            </w:r>
          </w:p>
        </w:tc>
      </w:tr>
      <w:tr w:rsidR="00301B1B" w:rsidRPr="003434CD" w:rsidTr="005D151D">
        <w:tc>
          <w:tcPr>
            <w:tcW w:w="46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(вид документа, удостоверяющего личность)</w:t>
            </w:r>
          </w:p>
        </w:tc>
        <w:tc>
          <w:tcPr>
            <w:tcW w:w="4422" w:type="dxa"/>
            <w:gridSpan w:val="6"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01B1B" w:rsidRPr="003434CD" w:rsidTr="005D151D">
        <w:tc>
          <w:tcPr>
            <w:tcW w:w="90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301B1B" w:rsidRPr="003434CD" w:rsidTr="005D151D">
        <w:tc>
          <w:tcPr>
            <w:tcW w:w="9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(когда и кем)</w:t>
            </w:r>
          </w:p>
        </w:tc>
      </w:tr>
      <w:tr w:rsidR="00301B1B" w:rsidRPr="003434CD" w:rsidTr="005D151D">
        <w:tc>
          <w:tcPr>
            <w:tcW w:w="8936" w:type="dxa"/>
            <w:gridSpan w:val="9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проживающий(ая) по адресу: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301B1B" w:rsidRPr="003434CD" w:rsidTr="005D151D">
        <w:tc>
          <w:tcPr>
            <w:tcW w:w="9080" w:type="dxa"/>
            <w:gridSpan w:val="10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настоящим даю свое согласие на обработку</w:t>
            </w:r>
          </w:p>
        </w:tc>
      </w:tr>
      <w:tr w:rsidR="00301B1B" w:rsidRPr="003434CD" w:rsidTr="005D151D">
        <w:tc>
          <w:tcPr>
            <w:tcW w:w="9080" w:type="dxa"/>
            <w:gridSpan w:val="10"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(наименование и адрес оператора)</w:t>
            </w:r>
          </w:p>
        </w:tc>
      </w:tr>
      <w:tr w:rsidR="00301B1B" w:rsidRPr="003434CD" w:rsidTr="005D151D">
        <w:tc>
          <w:tcPr>
            <w:tcW w:w="9080" w:type="dxa"/>
            <w:gridSpan w:val="10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моих персональных данных и подтверждаю, что, давая такое согласие, я действую своей волей и в своих интересах.</w:t>
            </w:r>
          </w:p>
        </w:tc>
      </w:tr>
      <w:tr w:rsidR="00301B1B" w:rsidRPr="003434CD" w:rsidTr="005D151D">
        <w:tc>
          <w:tcPr>
            <w:tcW w:w="9080" w:type="dxa"/>
            <w:gridSpan w:val="10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Согласие дается мною для целей</w:t>
            </w:r>
          </w:p>
        </w:tc>
      </w:tr>
      <w:tr w:rsidR="00301B1B" w:rsidRPr="003434CD" w:rsidTr="005D151D">
        <w:tc>
          <w:tcPr>
            <w:tcW w:w="9080" w:type="dxa"/>
            <w:gridSpan w:val="10"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(цель обработки персональных данных)</w:t>
            </w:r>
          </w:p>
        </w:tc>
      </w:tr>
      <w:tr w:rsidR="00301B1B" w:rsidRPr="003434CD" w:rsidTr="005D151D">
        <w:tc>
          <w:tcPr>
            <w:tcW w:w="9080" w:type="dxa"/>
            <w:gridSpan w:val="10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и распространяется на следующую информацию:</w:t>
            </w:r>
          </w:p>
        </w:tc>
      </w:tr>
      <w:tr w:rsidR="00301B1B" w:rsidRPr="003434CD" w:rsidTr="005D151D">
        <w:tc>
          <w:tcPr>
            <w:tcW w:w="9080" w:type="dxa"/>
            <w:gridSpan w:val="10"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(перечень персональных данных)</w:t>
            </w:r>
          </w:p>
        </w:tc>
      </w:tr>
      <w:tr w:rsidR="00301B1B" w:rsidRPr="003434CD" w:rsidTr="005D151D">
        <w:tc>
          <w:tcPr>
            <w:tcW w:w="9080" w:type="dxa"/>
            <w:gridSpan w:val="10"/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Настоящее согласие предоставляется на осуществление любых дейс</w:t>
            </w:r>
            <w:r w:rsidRPr="003434CD">
              <w:rPr>
                <w:sz w:val="28"/>
                <w:szCs w:val="28"/>
                <w:lang w:eastAsia="en-US"/>
              </w:rPr>
              <w:t>т</w:t>
            </w:r>
            <w:r w:rsidRPr="003434CD">
              <w:rPr>
                <w:sz w:val="28"/>
                <w:szCs w:val="28"/>
                <w:lang w:eastAsia="en-US"/>
              </w:rPr>
              <w:t xml:space="preserve">вий в отношении моих персональных данных, которые необходимы или желаемы для достижения указанных выше целей, включая (без </w:t>
            </w:r>
            <w:r w:rsidRPr="003434CD">
              <w:rPr>
                <w:sz w:val="28"/>
                <w:szCs w:val="28"/>
                <w:lang w:eastAsia="en-US"/>
              </w:rPr>
              <w:lastRenderedPageBreak/>
              <w:t>огранич</w:t>
            </w:r>
            <w:r w:rsidRPr="003434CD">
              <w:rPr>
                <w:sz w:val="28"/>
                <w:szCs w:val="28"/>
                <w:lang w:eastAsia="en-US"/>
              </w:rPr>
              <w:t>е</w:t>
            </w:r>
            <w:r w:rsidRPr="003434CD">
              <w:rPr>
                <w:sz w:val="28"/>
                <w:szCs w:val="28"/>
                <w:lang w:eastAsia="en-US"/>
              </w:rPr>
              <w:t>ния) сбор, систематизацию, накопление, хранение, уточнение (обновл</w:t>
            </w:r>
            <w:r w:rsidRPr="003434CD">
              <w:rPr>
                <w:sz w:val="28"/>
                <w:szCs w:val="28"/>
                <w:lang w:eastAsia="en-US"/>
              </w:rPr>
              <w:t>е</w:t>
            </w:r>
            <w:r w:rsidRPr="003434CD">
              <w:rPr>
                <w:sz w:val="28"/>
                <w:szCs w:val="28"/>
                <w:lang w:eastAsia="en-US"/>
              </w:rPr>
              <w:t>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федерального законодательства.</w:t>
            </w:r>
          </w:p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В случае неправомерного использования предоставленных мною пе</w:t>
            </w:r>
            <w:r w:rsidRPr="003434CD">
              <w:rPr>
                <w:sz w:val="28"/>
                <w:szCs w:val="28"/>
                <w:lang w:eastAsia="en-US"/>
              </w:rPr>
              <w:t>р</w:t>
            </w:r>
            <w:r w:rsidRPr="003434CD">
              <w:rPr>
                <w:sz w:val="28"/>
                <w:szCs w:val="28"/>
                <w:lang w:eastAsia="en-US"/>
              </w:rPr>
              <w:t>сональных данных согласие отзывается моим письменным заявлением.</w:t>
            </w:r>
          </w:p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ind w:firstLine="283"/>
              <w:jc w:val="both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Данное согласие действует с "___" __________ 20___ г. по "___" __________ 20___ г.</w:t>
            </w:r>
          </w:p>
        </w:tc>
      </w:tr>
      <w:tr w:rsidR="00301B1B" w:rsidRPr="003434CD" w:rsidTr="005D151D"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01B1B" w:rsidRPr="003434CD" w:rsidTr="005D151D">
        <w:tc>
          <w:tcPr>
            <w:tcW w:w="1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(ФИО)</w:t>
            </w:r>
          </w:p>
        </w:tc>
        <w:tc>
          <w:tcPr>
            <w:tcW w:w="340" w:type="dxa"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2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B1B" w:rsidRPr="003434CD" w:rsidRDefault="00301B1B" w:rsidP="005D151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434CD">
              <w:rPr>
                <w:sz w:val="28"/>
                <w:szCs w:val="28"/>
                <w:lang w:eastAsia="en-US"/>
              </w:rPr>
              <w:t>(подпись лица, давшего согласие)</w:t>
            </w:r>
          </w:p>
        </w:tc>
      </w:tr>
    </w:tbl>
    <w:p w:rsidR="00301B1B" w:rsidRDefault="00301B1B" w:rsidP="00301B1B">
      <w:pPr>
        <w:tabs>
          <w:tab w:val="left" w:pos="567"/>
          <w:tab w:val="left" w:pos="2127"/>
        </w:tabs>
        <w:spacing w:line="240" w:lineRule="exact"/>
        <w:ind w:left="-211"/>
        <w:jc w:val="both"/>
        <w:rPr>
          <w:sz w:val="28"/>
          <w:szCs w:val="28"/>
        </w:rPr>
      </w:pPr>
    </w:p>
    <w:p w:rsidR="00301B1B" w:rsidRDefault="00301B1B" w:rsidP="00301B1B">
      <w:pPr>
        <w:tabs>
          <w:tab w:val="left" w:pos="567"/>
          <w:tab w:val="left" w:pos="2127"/>
        </w:tabs>
        <w:spacing w:line="240" w:lineRule="exact"/>
        <w:ind w:left="-211"/>
        <w:jc w:val="both"/>
        <w:rPr>
          <w:sz w:val="28"/>
          <w:szCs w:val="28"/>
        </w:rPr>
      </w:pPr>
    </w:p>
    <w:p w:rsidR="00301B1B" w:rsidRPr="000C43FF" w:rsidRDefault="00301B1B" w:rsidP="00301B1B">
      <w:pPr>
        <w:tabs>
          <w:tab w:val="left" w:pos="567"/>
          <w:tab w:val="left" w:pos="2127"/>
        </w:tabs>
        <w:spacing w:line="240" w:lineRule="exact"/>
        <w:ind w:left="-211"/>
        <w:jc w:val="both"/>
        <w:rPr>
          <w:sz w:val="28"/>
          <w:szCs w:val="28"/>
        </w:rPr>
      </w:pPr>
    </w:p>
    <w:p w:rsidR="00031DA6" w:rsidRDefault="00031DA6" w:rsidP="00031DA6">
      <w:pPr>
        <w:jc w:val="right"/>
        <w:rPr>
          <w:bCs/>
          <w:sz w:val="28"/>
          <w:szCs w:val="28"/>
        </w:rPr>
      </w:pPr>
    </w:p>
    <w:sectPr w:rsidR="00031DA6" w:rsidSect="00440BC1">
      <w:headerReference w:type="default" r:id="rId11"/>
      <w:headerReference w:type="first" r:id="rId12"/>
      <w:pgSz w:w="11906" w:h="16838" w:code="9"/>
      <w:pgMar w:top="397" w:right="567" w:bottom="249" w:left="1701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19" w:rsidRDefault="00E64E19" w:rsidP="00225827">
      <w:r>
        <w:separator/>
      </w:r>
    </w:p>
  </w:endnote>
  <w:endnote w:type="continuationSeparator" w:id="1">
    <w:p w:rsidR="00E64E19" w:rsidRDefault="00E64E19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19" w:rsidRDefault="00E64E19" w:rsidP="00225827">
      <w:r>
        <w:separator/>
      </w:r>
    </w:p>
  </w:footnote>
  <w:footnote w:type="continuationSeparator" w:id="1">
    <w:p w:rsidR="00E64E19" w:rsidRDefault="00E64E19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8E4A21">
    <w:pPr>
      <w:pStyle w:val="ac"/>
      <w:jc w:val="center"/>
    </w:pPr>
    <w:fldSimple w:instr=" PAGE   \* MERGEFORMAT ">
      <w:r w:rsidR="00301B1B">
        <w:rPr>
          <w:noProof/>
        </w:rPr>
        <w:t>2</w:t>
      </w:r>
    </w:fldSimple>
  </w:p>
  <w:p w:rsidR="007816B7" w:rsidRDefault="007816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031DA6" w:rsidRDefault="008E4A21">
        <w:pPr>
          <w:pStyle w:val="ac"/>
          <w:jc w:val="center"/>
        </w:pPr>
        <w:fldSimple w:instr=" PAGE   \* MERGEFORMAT ">
          <w:r w:rsidR="00301B1B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837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4260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8E0C2E8D95B98B89264C0DA65D1B8E874BF87D8AD731C8C680636477H0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E0C2E8D95B98B89264C0DA65D1B8E8747FF708AD731C8C680636477H0K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29</cp:revision>
  <cp:lastPrinted>2022-03-16T06:48:00Z</cp:lastPrinted>
  <dcterms:created xsi:type="dcterms:W3CDTF">2022-02-24T11:55:00Z</dcterms:created>
  <dcterms:modified xsi:type="dcterms:W3CDTF">2022-04-01T12:21:00Z</dcterms:modified>
</cp:coreProperties>
</file>