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85143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</w:t>
      </w:r>
      <w:r w:rsidR="00510F66">
        <w:rPr>
          <w:sz w:val="28"/>
          <w:szCs w:val="28"/>
        </w:rPr>
        <w:t>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35"/>
      </w:tblGrid>
      <w:tr w:rsidR="007F135C" w:rsidRPr="00D704F3" w:rsidTr="00181D01">
        <w:trPr>
          <w:cantSplit/>
          <w:trHeight w:val="113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181D01" w:rsidP="00181D01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41CE7">
              <w:rPr>
                <w:b/>
                <w:sz w:val="28"/>
                <w:szCs w:val="28"/>
              </w:rPr>
              <w:t>О Порядке предоставления и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41CE7">
              <w:rPr>
                <w:b/>
                <w:sz w:val="28"/>
                <w:szCs w:val="28"/>
              </w:rPr>
              <w:t>етодик</w:t>
            </w:r>
            <w:r>
              <w:rPr>
                <w:b/>
                <w:sz w:val="28"/>
                <w:szCs w:val="28"/>
              </w:rPr>
              <w:t>е</w:t>
            </w:r>
            <w:r w:rsidRPr="00A41CE7">
              <w:rPr>
                <w:b/>
                <w:sz w:val="28"/>
                <w:szCs w:val="28"/>
              </w:rPr>
              <w:t xml:space="preserve">  распределения </w:t>
            </w:r>
            <w:r>
              <w:rPr>
                <w:b/>
                <w:sz w:val="28"/>
                <w:szCs w:val="28"/>
              </w:rPr>
              <w:t>иных</w:t>
            </w:r>
            <w:r w:rsidRPr="00A41C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межбюджетных трансфертов бюджетам </w:t>
            </w:r>
            <w:r w:rsidRPr="00A41CE7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й</w:t>
            </w:r>
            <w:r w:rsidRPr="00A41CE7">
              <w:rPr>
                <w:b/>
                <w:sz w:val="28"/>
                <w:szCs w:val="28"/>
              </w:rPr>
              <w:t xml:space="preserve"> из бюджета муниципального района на   </w:t>
            </w:r>
            <w:r>
              <w:rPr>
                <w:b/>
                <w:sz w:val="28"/>
                <w:szCs w:val="28"/>
              </w:rPr>
              <w:t>реализацию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181D01" w:rsidRDefault="00181D01" w:rsidP="00181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142.4 Бюджетного  кодекса Российской Федерации, положением о бюджетном процессе в Поддорском               муниципальном районе, утвержденным решением Думы Поддорского муниципального района от 26.12.2011 № 472</w:t>
      </w:r>
    </w:p>
    <w:p w:rsidR="00181D01" w:rsidRDefault="00181D01" w:rsidP="00181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181D01" w:rsidRPr="0089597A" w:rsidRDefault="00181D01" w:rsidP="00181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</w:t>
      </w:r>
      <w:r w:rsidRPr="0089597A">
        <w:rPr>
          <w:b/>
          <w:sz w:val="28"/>
          <w:szCs w:val="28"/>
        </w:rPr>
        <w:t>:</w:t>
      </w:r>
    </w:p>
    <w:p w:rsidR="00181D01" w:rsidRPr="007D4FD6" w:rsidRDefault="00181D01" w:rsidP="00181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  распределения иных межбюджетных трансфертов бюджетам поселений из бюджета  муниципального района на </w:t>
      </w:r>
      <w:r w:rsidRPr="007D4FD6">
        <w:rPr>
          <w:sz w:val="28"/>
          <w:szCs w:val="28"/>
        </w:rPr>
        <w:t>реализацию мероприятий, направленных на экономическое развитие Поддорского</w:t>
      </w:r>
      <w:r>
        <w:rPr>
          <w:sz w:val="28"/>
          <w:szCs w:val="28"/>
        </w:rPr>
        <w:t xml:space="preserve"> муниципального</w:t>
      </w:r>
      <w:r w:rsidRPr="007D4FD6">
        <w:rPr>
          <w:sz w:val="28"/>
          <w:szCs w:val="28"/>
        </w:rPr>
        <w:t xml:space="preserve"> района. </w:t>
      </w:r>
    </w:p>
    <w:p w:rsidR="00181D01" w:rsidRDefault="00181D01" w:rsidP="00181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муниципальной газете «Вестник Поддорского муниципального района».</w:t>
      </w:r>
    </w:p>
    <w:p w:rsidR="00181D01" w:rsidRDefault="00181D01" w:rsidP="00181D01">
      <w:pPr>
        <w:ind w:firstLine="851"/>
        <w:jc w:val="both"/>
        <w:rPr>
          <w:sz w:val="28"/>
          <w:szCs w:val="28"/>
        </w:rPr>
      </w:pPr>
    </w:p>
    <w:p w:rsidR="00D4077A" w:rsidRDefault="00D4077A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Pr="00181D01" w:rsidRDefault="00181D01" w:rsidP="00181D01"/>
    <w:p w:rsidR="00181D01" w:rsidRPr="00181D01" w:rsidRDefault="00181D01" w:rsidP="00181D01"/>
    <w:p w:rsidR="00181D01" w:rsidRPr="00181D01" w:rsidRDefault="00181D01" w:rsidP="00181D01"/>
    <w:p w:rsidR="00181D01" w:rsidRDefault="00181D01" w:rsidP="00181D01"/>
    <w:p w:rsidR="00181D01" w:rsidRDefault="00181D01" w:rsidP="00181D01"/>
    <w:p w:rsidR="00181D01" w:rsidRDefault="00181D01">
      <w:r>
        <w:br w:type="page"/>
      </w:r>
    </w:p>
    <w:tbl>
      <w:tblPr>
        <w:tblW w:w="4536" w:type="dxa"/>
        <w:tblInd w:w="5211" w:type="dxa"/>
        <w:tblLayout w:type="fixed"/>
        <w:tblLook w:val="0000"/>
      </w:tblPr>
      <w:tblGrid>
        <w:gridCol w:w="4536"/>
      </w:tblGrid>
      <w:tr w:rsidR="00181D01" w:rsidRPr="00946242" w:rsidTr="009A4467">
        <w:tc>
          <w:tcPr>
            <w:tcW w:w="4536" w:type="dxa"/>
          </w:tcPr>
          <w:p w:rsidR="00181D01" w:rsidRDefault="00181D01" w:rsidP="009A4467">
            <w:pPr>
              <w:pStyle w:val="a5"/>
              <w:spacing w:line="240" w:lineRule="exact"/>
              <w:jc w:val="center"/>
              <w:rPr>
                <w:szCs w:val="28"/>
              </w:rPr>
            </w:pPr>
          </w:p>
          <w:p w:rsidR="00181D01" w:rsidRPr="00946242" w:rsidRDefault="00181D01" w:rsidP="00181D01">
            <w:pPr>
              <w:pStyle w:val="a5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У</w:t>
            </w:r>
            <w:r>
              <w:rPr>
                <w:szCs w:val="28"/>
              </w:rPr>
              <w:t>ТВЕРЖДЕН</w:t>
            </w:r>
          </w:p>
        </w:tc>
      </w:tr>
      <w:tr w:rsidR="00181D01" w:rsidRPr="00946242" w:rsidTr="009A4467">
        <w:tc>
          <w:tcPr>
            <w:tcW w:w="4536" w:type="dxa"/>
          </w:tcPr>
          <w:p w:rsidR="00181D01" w:rsidRPr="00946242" w:rsidRDefault="00181D01" w:rsidP="009A4467">
            <w:pPr>
              <w:pStyle w:val="a5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решением Думы Поддорского </w:t>
            </w:r>
          </w:p>
          <w:p w:rsidR="00181D01" w:rsidRPr="00946242" w:rsidRDefault="00181D01" w:rsidP="009A4467">
            <w:pPr>
              <w:pStyle w:val="a5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муниципального района</w:t>
            </w:r>
          </w:p>
          <w:p w:rsidR="00181D01" w:rsidRPr="00946242" w:rsidRDefault="00181D01" w:rsidP="009A4467">
            <w:pPr>
              <w:pStyle w:val="a5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от</w:t>
            </w:r>
            <w:r>
              <w:rPr>
                <w:szCs w:val="28"/>
              </w:rPr>
              <w:t xml:space="preserve"> 28.06.2022 № 138</w:t>
            </w:r>
          </w:p>
        </w:tc>
      </w:tr>
    </w:tbl>
    <w:p w:rsidR="00181D01" w:rsidRDefault="00181D01" w:rsidP="00181D01">
      <w:pPr>
        <w:ind w:left="4253"/>
        <w:jc w:val="center"/>
        <w:rPr>
          <w:sz w:val="28"/>
          <w:szCs w:val="28"/>
        </w:rPr>
      </w:pPr>
    </w:p>
    <w:p w:rsidR="00181D01" w:rsidRDefault="00181D01" w:rsidP="0018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181D01" w:rsidRDefault="00181D01" w:rsidP="0018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 методики распределения иных межбюджетных трансфертов бюджетам </w:t>
      </w:r>
      <w:r w:rsidRPr="00A41CE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й</w:t>
      </w:r>
      <w:r w:rsidRPr="00A41CE7">
        <w:rPr>
          <w:b/>
          <w:sz w:val="28"/>
          <w:szCs w:val="28"/>
        </w:rPr>
        <w:t xml:space="preserve">  из бюджета</w:t>
      </w:r>
      <w:r>
        <w:rPr>
          <w:b/>
          <w:sz w:val="28"/>
          <w:szCs w:val="28"/>
        </w:rPr>
        <w:t xml:space="preserve"> муниципального района  на реализацию мероприятий, направленных на экономическое развитие Поддорского муниципального района</w:t>
      </w:r>
    </w:p>
    <w:p w:rsidR="00181D01" w:rsidRDefault="00181D01" w:rsidP="00181D01">
      <w:pPr>
        <w:jc w:val="center"/>
        <w:rPr>
          <w:b/>
          <w:sz w:val="28"/>
          <w:szCs w:val="28"/>
        </w:rPr>
      </w:pPr>
    </w:p>
    <w:p w:rsidR="00181D01" w:rsidRPr="00181D01" w:rsidRDefault="00181D01" w:rsidP="00181D01">
      <w:pPr>
        <w:ind w:firstLine="851"/>
        <w:jc w:val="both"/>
        <w:rPr>
          <w:sz w:val="28"/>
          <w:szCs w:val="28"/>
        </w:rPr>
      </w:pPr>
      <w:r w:rsidRPr="00181D01">
        <w:rPr>
          <w:sz w:val="28"/>
          <w:szCs w:val="28"/>
        </w:rPr>
        <w:t>1. Порядок предоставления и методика распределения иных межбюджетных трансфертов бюджетам поселений из бюджета  муниципального района на реализацию мероприятий, направленных на экономическое развитие Поддорского муниципального района (далее - иной межбюджетный трансферт) определяют цели, условия предоставления и расходования иного межбюджетного трансферта, критерии отбора поселений Поддорского муниципального  района, для предоставления расходования иного межбюджетного трансферта, а также методику распределения расходования иного межбюджетного трансферта между бюджетами  поселений.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</w:rPr>
        <w:t xml:space="preserve">2. Органом, уполномоченным на организацию работы по предоставлению </w:t>
      </w:r>
      <w:r w:rsidRPr="00181D01">
        <w:rPr>
          <w:sz w:val="28"/>
          <w:szCs w:val="28"/>
        </w:rPr>
        <w:t>иного межбюджетного трансферта</w:t>
      </w:r>
      <w:r w:rsidRPr="00181D01">
        <w:rPr>
          <w:color w:val="000000"/>
          <w:sz w:val="28"/>
          <w:szCs w:val="28"/>
        </w:rPr>
        <w:t xml:space="preserve">, является комитет финансов Администрации муниципального района. 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3. И</w:t>
      </w:r>
      <w:r w:rsidRPr="00181D01">
        <w:rPr>
          <w:sz w:val="28"/>
          <w:szCs w:val="28"/>
        </w:rPr>
        <w:t>ные межбюджетные трансферты</w:t>
      </w:r>
      <w:r w:rsidRPr="00181D01">
        <w:rPr>
          <w:color w:val="000000"/>
          <w:sz w:val="28"/>
          <w:szCs w:val="28"/>
        </w:rPr>
        <w:t xml:space="preserve"> предоставляются бюджетам поселений и расходуются с целью </w:t>
      </w:r>
      <w:r w:rsidRPr="00181D01">
        <w:rPr>
          <w:sz w:val="28"/>
          <w:szCs w:val="28"/>
        </w:rPr>
        <w:t xml:space="preserve">организации проведения работ в текущем году. 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4. И</w:t>
      </w:r>
      <w:r w:rsidRPr="00181D01">
        <w:rPr>
          <w:sz w:val="28"/>
          <w:szCs w:val="28"/>
        </w:rPr>
        <w:t>ные межбюджетные трансферты</w:t>
      </w:r>
      <w:r w:rsidRPr="00181D01">
        <w:rPr>
          <w:color w:val="000000"/>
          <w:sz w:val="28"/>
          <w:szCs w:val="28"/>
        </w:rPr>
        <w:t xml:space="preserve"> предоставляются бюджетам поселений при условии представления органами местного самоуправления поселений в  комитет финансов Администрации муниципального района заявки на перечисление из бюджета муниципального района </w:t>
      </w:r>
      <w:r w:rsidRPr="00181D01">
        <w:rPr>
          <w:sz w:val="28"/>
          <w:szCs w:val="28"/>
        </w:rPr>
        <w:t xml:space="preserve">на реализацию мероприятий, направленных на экономическое развитие Поддорского муниципального района в текущем году.  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5. Комитет финансов Администрации муниципального района как главный распорядитель бюджетных средств осуществляет предоставление 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 xml:space="preserve">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6. И</w:t>
      </w:r>
      <w:r w:rsidRPr="00181D01">
        <w:rPr>
          <w:sz w:val="28"/>
          <w:szCs w:val="28"/>
        </w:rPr>
        <w:t>ные межбюджетные трансферты</w:t>
      </w:r>
      <w:r w:rsidRPr="00181D01">
        <w:rPr>
          <w:color w:val="000000"/>
          <w:sz w:val="28"/>
          <w:szCs w:val="28"/>
        </w:rPr>
        <w:t xml:space="preserve">  предоставляются в  соответствии с соглашением о предоставлении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,   заключаемым Администрацией муниципального района с Администрацией сельского поселения (далее - соглашение), содержащим следующие положения: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сведения об объеме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</w:rPr>
        <w:t>целевое назначение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порядок и сроки перечисления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порядок осуществления контроля за исполнением условий соглашения;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ответственность сторон за нарушение условий соглашения;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lastRenderedPageBreak/>
        <w:t>форма, порядок и сроки представления отчетности об осуществлении расходов бюджета поселения, источником финансового обеспечения которых является и</w:t>
      </w:r>
      <w:r w:rsidRPr="00181D01">
        <w:rPr>
          <w:sz w:val="28"/>
          <w:szCs w:val="28"/>
        </w:rPr>
        <w:t>ной межбюджетный трансферт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иные условия, регулирующие порядок предоставления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, определяемые по соглашению сторон.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</w:rPr>
        <w:t>7. Средства на предоставление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 xml:space="preserve">   распределяются между   бюджетами поселений согласно следующей методике: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</w:rPr>
        <w:t xml:space="preserve"> =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1</w:t>
      </w:r>
      <w:r w:rsidRPr="00181D01">
        <w:rPr>
          <w:color w:val="000000"/>
          <w:sz w:val="28"/>
          <w:szCs w:val="28"/>
        </w:rPr>
        <w:t xml:space="preserve">  +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2</w:t>
      </w:r>
      <w:r w:rsidRPr="00181D01">
        <w:rPr>
          <w:color w:val="000000"/>
          <w:sz w:val="28"/>
          <w:szCs w:val="28"/>
        </w:rPr>
        <w:t xml:space="preserve">  +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3</w:t>
      </w:r>
      <w:r w:rsidRPr="00181D01">
        <w:rPr>
          <w:color w:val="000000"/>
          <w:sz w:val="28"/>
          <w:szCs w:val="28"/>
        </w:rPr>
        <w:t xml:space="preserve"> +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vertAlign w:val="subscript"/>
        </w:rPr>
        <w:t>+1</w:t>
      </w:r>
      <w:r w:rsidRPr="00181D01">
        <w:rPr>
          <w:color w:val="000000"/>
          <w:sz w:val="28"/>
          <w:szCs w:val="28"/>
        </w:rPr>
        <w:t xml:space="preserve">  , где: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</w:rPr>
        <w:t xml:space="preserve">  - объем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, причитающийся бюджету муниципального района</w:t>
      </w:r>
      <w:r w:rsidRPr="00181D01">
        <w:rPr>
          <w:sz w:val="28"/>
          <w:szCs w:val="28"/>
        </w:rPr>
        <w:t xml:space="preserve">  </w:t>
      </w:r>
      <w:r w:rsidRPr="00181D01">
        <w:rPr>
          <w:color w:val="000000"/>
          <w:sz w:val="28"/>
          <w:szCs w:val="28"/>
        </w:rPr>
        <w:t xml:space="preserve">в текущем году </w:t>
      </w:r>
      <w:r w:rsidRPr="00181D01">
        <w:rPr>
          <w:sz w:val="28"/>
          <w:szCs w:val="28"/>
        </w:rPr>
        <w:t>на   реализацию мероприятий, направленных на экономическое развитие Поддорского муниципального района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1</w:t>
      </w:r>
      <w:r w:rsidRPr="00181D01">
        <w:rPr>
          <w:color w:val="000000"/>
          <w:sz w:val="28"/>
          <w:szCs w:val="28"/>
        </w:rPr>
        <w:t xml:space="preserve"> - объем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, причитающийся бюджету поселения</w:t>
      </w:r>
      <w:r w:rsidRPr="00181D01">
        <w:rPr>
          <w:sz w:val="28"/>
          <w:szCs w:val="28"/>
        </w:rPr>
        <w:t xml:space="preserve">  </w:t>
      </w:r>
      <w:r w:rsidRPr="00181D01">
        <w:rPr>
          <w:color w:val="000000"/>
          <w:sz w:val="28"/>
          <w:szCs w:val="28"/>
        </w:rPr>
        <w:t xml:space="preserve">в текущем году </w:t>
      </w:r>
      <w:r w:rsidRPr="00181D01">
        <w:rPr>
          <w:sz w:val="28"/>
          <w:szCs w:val="28"/>
        </w:rPr>
        <w:t xml:space="preserve">на   реализацию мероприятий, направленных на экономическое развитие Поддорского муниципального района, имеющее население сельского поселения по состоянию на 1 января 2022 года свыше 2 000 человек и считается по формуле 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1</w:t>
      </w:r>
      <w:r w:rsidRPr="00181D01">
        <w:rPr>
          <w:color w:val="000000"/>
          <w:sz w:val="28"/>
          <w:szCs w:val="28"/>
        </w:rPr>
        <w:t xml:space="preserve">=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</w:rPr>
        <w:t xml:space="preserve">  * 80%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2</w:t>
      </w:r>
      <w:r w:rsidRPr="00181D01">
        <w:rPr>
          <w:color w:val="000000"/>
          <w:sz w:val="28"/>
          <w:szCs w:val="28"/>
        </w:rPr>
        <w:t xml:space="preserve"> ,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 xml:space="preserve">3 </w:t>
      </w:r>
      <w:r w:rsidRPr="00181D01">
        <w:rPr>
          <w:color w:val="000000"/>
          <w:sz w:val="28"/>
          <w:szCs w:val="28"/>
        </w:rPr>
        <w:t xml:space="preserve">, </w:t>
      </w: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vertAlign w:val="subscript"/>
        </w:rPr>
        <w:t>+1</w:t>
      </w:r>
      <w:r w:rsidRPr="00181D01">
        <w:rPr>
          <w:color w:val="000000"/>
          <w:sz w:val="28"/>
          <w:szCs w:val="28"/>
        </w:rPr>
        <w:t>, - объем и</w:t>
      </w:r>
      <w:r w:rsidRPr="00181D01">
        <w:rPr>
          <w:sz w:val="28"/>
          <w:szCs w:val="28"/>
        </w:rPr>
        <w:t>ного межбюджетного трансферта</w:t>
      </w:r>
      <w:r w:rsidRPr="00181D01">
        <w:rPr>
          <w:color w:val="000000"/>
          <w:sz w:val="28"/>
          <w:szCs w:val="28"/>
        </w:rPr>
        <w:t>, причитающийся бюджету поселения</w:t>
      </w:r>
      <w:r w:rsidRPr="00181D01">
        <w:rPr>
          <w:sz w:val="28"/>
          <w:szCs w:val="28"/>
        </w:rPr>
        <w:t xml:space="preserve"> </w:t>
      </w:r>
      <w:r w:rsidRPr="00181D01">
        <w:rPr>
          <w:color w:val="000000"/>
          <w:sz w:val="28"/>
          <w:szCs w:val="28"/>
        </w:rPr>
        <w:t xml:space="preserve">в текущем году </w:t>
      </w:r>
      <w:r w:rsidRPr="00181D01">
        <w:rPr>
          <w:sz w:val="28"/>
          <w:szCs w:val="28"/>
        </w:rPr>
        <w:t xml:space="preserve">на реализацию мероприятий, направленных на экономическое развитие Поддорского муниципального района, считаются от оставшейся суммы пропорционально в зависимости от численности населения  сельского поселения по состоянию на 1 января 2022 года по формуле </w:t>
      </w:r>
      <w:r w:rsidRPr="00181D01">
        <w:rPr>
          <w:color w:val="000000"/>
          <w:sz w:val="28"/>
          <w:szCs w:val="28"/>
        </w:rPr>
        <w:t>;</w:t>
      </w:r>
    </w:p>
    <w:p w:rsidR="00181D01" w:rsidRPr="00181D01" w:rsidRDefault="00181D01" w:rsidP="00181D0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181D01">
        <w:rPr>
          <w:color w:val="000000"/>
          <w:sz w:val="28"/>
          <w:szCs w:val="28"/>
          <w:lang w:val="en-US"/>
        </w:rPr>
        <w:t>V</w:t>
      </w:r>
      <w:r w:rsidRPr="00181D01">
        <w:rPr>
          <w:color w:val="000000"/>
          <w:sz w:val="28"/>
          <w:szCs w:val="28"/>
          <w:vertAlign w:val="subscript"/>
          <w:lang w:val="en-US"/>
        </w:rPr>
        <w:t>i2</w:t>
      </w:r>
      <w:r w:rsidRPr="00181D01">
        <w:rPr>
          <w:color w:val="000000"/>
          <w:sz w:val="28"/>
          <w:szCs w:val="28"/>
          <w:lang w:val="en-US"/>
        </w:rPr>
        <w:t xml:space="preserve"> , V</w:t>
      </w:r>
      <w:r w:rsidRPr="00181D01">
        <w:rPr>
          <w:color w:val="000000"/>
          <w:sz w:val="28"/>
          <w:szCs w:val="28"/>
          <w:vertAlign w:val="subscript"/>
          <w:lang w:val="en-US"/>
        </w:rPr>
        <w:t xml:space="preserve">i3 </w:t>
      </w:r>
      <w:r w:rsidRPr="00181D01">
        <w:rPr>
          <w:color w:val="000000"/>
          <w:sz w:val="28"/>
          <w:szCs w:val="28"/>
          <w:lang w:val="en-US"/>
        </w:rPr>
        <w:t>, V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lang w:val="en-US"/>
        </w:rPr>
        <w:t xml:space="preserve"> = </w:t>
      </w:r>
      <w:r w:rsidRPr="00181D01">
        <w:rPr>
          <w:color w:val="000000"/>
          <w:sz w:val="28"/>
          <w:szCs w:val="28"/>
          <w:u w:val="single"/>
          <w:lang w:val="en-US"/>
        </w:rPr>
        <w:t>(V - V</w:t>
      </w:r>
      <w:r w:rsidRPr="00181D01">
        <w:rPr>
          <w:color w:val="000000"/>
          <w:sz w:val="28"/>
          <w:szCs w:val="28"/>
          <w:u w:val="single"/>
          <w:vertAlign w:val="subscript"/>
          <w:lang w:val="en-US"/>
        </w:rPr>
        <w:t>i1</w:t>
      </w:r>
      <w:r w:rsidRPr="00181D01">
        <w:rPr>
          <w:color w:val="000000"/>
          <w:sz w:val="28"/>
          <w:szCs w:val="28"/>
          <w:u w:val="single"/>
          <w:lang w:val="en-US"/>
        </w:rPr>
        <w:t xml:space="preserve">  )        </w:t>
      </w:r>
      <w:r w:rsidRPr="00181D01">
        <w:rPr>
          <w:color w:val="000000"/>
          <w:sz w:val="28"/>
          <w:szCs w:val="28"/>
          <w:lang w:val="en-US"/>
        </w:rPr>
        <w:t xml:space="preserve">    * </w:t>
      </w:r>
      <w:r w:rsidRPr="00181D01">
        <w:rPr>
          <w:color w:val="000000"/>
          <w:sz w:val="28"/>
          <w:szCs w:val="28"/>
        </w:rPr>
        <w:t>Ч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lang w:val="en-US"/>
        </w:rPr>
        <w:t xml:space="preserve">   , </w:t>
      </w:r>
      <w:r w:rsidRPr="00181D01">
        <w:rPr>
          <w:color w:val="000000"/>
          <w:sz w:val="28"/>
          <w:szCs w:val="28"/>
        </w:rPr>
        <w:t>где</w:t>
      </w:r>
      <w:r w:rsidRPr="00181D01">
        <w:rPr>
          <w:color w:val="000000"/>
          <w:sz w:val="28"/>
          <w:szCs w:val="28"/>
          <w:u w:val="single"/>
          <w:lang w:val="en-US"/>
        </w:rPr>
        <w:t xml:space="preserve">   </w:t>
      </w:r>
    </w:p>
    <w:p w:rsidR="00181D01" w:rsidRPr="00181D01" w:rsidRDefault="00181D01" w:rsidP="00181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  <w:lang w:val="en-US"/>
        </w:rPr>
        <w:t xml:space="preserve">                     </w:t>
      </w:r>
      <w:r w:rsidRPr="00181D01">
        <w:rPr>
          <w:color w:val="000000"/>
          <w:sz w:val="28"/>
          <w:szCs w:val="28"/>
        </w:rPr>
        <w:t>( Ч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2</w:t>
      </w:r>
      <w:r w:rsidRPr="00181D01">
        <w:rPr>
          <w:color w:val="000000"/>
          <w:sz w:val="28"/>
          <w:szCs w:val="28"/>
        </w:rPr>
        <w:t xml:space="preserve">  + Ч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3</w:t>
      </w:r>
      <w:r w:rsidRPr="00181D01">
        <w:rPr>
          <w:color w:val="000000"/>
          <w:sz w:val="28"/>
          <w:szCs w:val="28"/>
        </w:rPr>
        <w:t xml:space="preserve"> + Ч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vertAlign w:val="subscript"/>
        </w:rPr>
        <w:t>+1</w:t>
      </w:r>
      <w:r w:rsidRPr="00181D01">
        <w:rPr>
          <w:color w:val="000000"/>
          <w:sz w:val="28"/>
          <w:szCs w:val="28"/>
        </w:rPr>
        <w:t xml:space="preserve">  )  </w:t>
      </w:r>
    </w:p>
    <w:p w:rsidR="00181D01" w:rsidRPr="00181D01" w:rsidRDefault="00181D01" w:rsidP="00181D01">
      <w:pPr>
        <w:shd w:val="clear" w:color="auto" w:fill="FFFFFF"/>
        <w:ind w:firstLine="709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Ч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2</w:t>
      </w:r>
      <w:r w:rsidRPr="00181D01">
        <w:rPr>
          <w:color w:val="000000"/>
          <w:sz w:val="28"/>
          <w:szCs w:val="28"/>
        </w:rPr>
        <w:t xml:space="preserve">  , Ч</w:t>
      </w:r>
      <w:r w:rsidRPr="00181D01">
        <w:rPr>
          <w:color w:val="000000"/>
          <w:sz w:val="28"/>
          <w:szCs w:val="28"/>
          <w:vertAlign w:val="subscript"/>
          <w:lang w:val="en-US"/>
        </w:rPr>
        <w:t>i</w:t>
      </w:r>
      <w:r w:rsidRPr="00181D01">
        <w:rPr>
          <w:color w:val="000000"/>
          <w:sz w:val="28"/>
          <w:szCs w:val="28"/>
          <w:vertAlign w:val="subscript"/>
        </w:rPr>
        <w:t>3</w:t>
      </w:r>
      <w:r w:rsidRPr="00181D01">
        <w:rPr>
          <w:color w:val="000000"/>
          <w:sz w:val="28"/>
          <w:szCs w:val="28"/>
        </w:rPr>
        <w:t xml:space="preserve"> , Ч</w:t>
      </w:r>
      <w:r w:rsidRPr="00181D01">
        <w:rPr>
          <w:color w:val="000000"/>
          <w:sz w:val="28"/>
          <w:szCs w:val="28"/>
          <w:vertAlign w:val="subscript"/>
          <w:lang w:val="en-US"/>
        </w:rPr>
        <w:t>in</w:t>
      </w:r>
      <w:r w:rsidRPr="00181D01">
        <w:rPr>
          <w:color w:val="000000"/>
          <w:sz w:val="28"/>
          <w:szCs w:val="28"/>
          <w:vertAlign w:val="subscript"/>
        </w:rPr>
        <w:t>+1</w:t>
      </w:r>
      <w:r w:rsidRPr="00181D01">
        <w:rPr>
          <w:color w:val="000000"/>
          <w:sz w:val="28"/>
          <w:szCs w:val="28"/>
        </w:rPr>
        <w:t xml:space="preserve"> - численность </w:t>
      </w:r>
      <w:r w:rsidRPr="00181D01">
        <w:rPr>
          <w:sz w:val="28"/>
          <w:szCs w:val="28"/>
        </w:rPr>
        <w:t>населения сельского поселения по состоянию на 1 января 2022 года.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sz w:val="28"/>
          <w:szCs w:val="28"/>
        </w:rPr>
        <w:t>Средства распределенные между бюджетами округляются до целых десятков тысяч рублей.</w:t>
      </w:r>
    </w:p>
    <w:p w:rsidR="00181D01" w:rsidRPr="00181D01" w:rsidRDefault="00181D01" w:rsidP="00181D01">
      <w:pPr>
        <w:ind w:firstLine="851"/>
        <w:jc w:val="both"/>
        <w:rPr>
          <w:color w:val="000000"/>
          <w:sz w:val="28"/>
          <w:szCs w:val="28"/>
        </w:rPr>
      </w:pPr>
      <w:r w:rsidRPr="00181D01">
        <w:rPr>
          <w:color w:val="000000"/>
          <w:sz w:val="28"/>
          <w:szCs w:val="28"/>
        </w:rPr>
        <w:t xml:space="preserve">8. Распределенные средства между бюджетами поселений </w:t>
      </w:r>
      <w:r w:rsidRPr="00181D01">
        <w:rPr>
          <w:sz w:val="28"/>
          <w:szCs w:val="28"/>
        </w:rPr>
        <w:t>на реализацию мероприятий, направленных на экономическое развитие Поддорского муниципального района в текущем  году</w:t>
      </w:r>
      <w:r w:rsidRPr="00181D01">
        <w:rPr>
          <w:color w:val="000000"/>
          <w:sz w:val="28"/>
          <w:szCs w:val="28"/>
        </w:rPr>
        <w:t xml:space="preserve"> перечисляются на счета сельских поселений, открытых в УФК по Новгородской области.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9. Органы местного самоуправления поселений представляют в комитет финансов Администрации муниципального района отчетность по форме и в сроки, определенные соглашением.</w:t>
      </w:r>
    </w:p>
    <w:p w:rsidR="00181D01" w:rsidRPr="00181D01" w:rsidRDefault="00181D01" w:rsidP="00181D01">
      <w:pPr>
        <w:shd w:val="clear" w:color="auto" w:fill="FFFFFF"/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10. И</w:t>
      </w:r>
      <w:r w:rsidRPr="00181D01">
        <w:rPr>
          <w:sz w:val="28"/>
          <w:szCs w:val="28"/>
        </w:rPr>
        <w:t>ные межбюджетные трансферты</w:t>
      </w:r>
      <w:r w:rsidRPr="00181D01">
        <w:rPr>
          <w:color w:val="000000"/>
          <w:sz w:val="28"/>
          <w:szCs w:val="28"/>
        </w:rPr>
        <w:t>, использованные не по целевому назначению и не использованные в установленные сроки, подлежат возврату в бюджет муниципального района.</w:t>
      </w:r>
    </w:p>
    <w:p w:rsidR="00181D01" w:rsidRPr="00181D01" w:rsidRDefault="00181D01" w:rsidP="00181D01">
      <w:pPr>
        <w:ind w:firstLine="851"/>
        <w:jc w:val="both"/>
        <w:rPr>
          <w:sz w:val="28"/>
          <w:szCs w:val="28"/>
        </w:rPr>
      </w:pPr>
      <w:r w:rsidRPr="00181D01">
        <w:rPr>
          <w:color w:val="000000"/>
          <w:sz w:val="28"/>
          <w:szCs w:val="28"/>
        </w:rPr>
        <w:t>11. Контроль за целевым использованием субсидий осуществляется в соответствии с Бюджетным кодексом Российской Федерации иными нормативными правовыми актами в установленном порядке.</w:t>
      </w:r>
      <w:r w:rsidRPr="00181D01">
        <w:rPr>
          <w:sz w:val="28"/>
          <w:szCs w:val="28"/>
        </w:rPr>
        <w:t xml:space="preserve"> </w:t>
      </w:r>
    </w:p>
    <w:sectPr w:rsidR="00181D01" w:rsidRP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D4" w:rsidRDefault="00D56BD4" w:rsidP="00225827">
      <w:r>
        <w:separator/>
      </w:r>
    </w:p>
  </w:endnote>
  <w:endnote w:type="continuationSeparator" w:id="1">
    <w:p w:rsidR="00D56BD4" w:rsidRDefault="00D56BD4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D4" w:rsidRDefault="00D56BD4" w:rsidP="00225827">
      <w:r>
        <w:separator/>
      </w:r>
    </w:p>
  </w:footnote>
  <w:footnote w:type="continuationSeparator" w:id="1">
    <w:p w:rsidR="00D56BD4" w:rsidRDefault="00D56BD4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851438">
    <w:pPr>
      <w:pStyle w:val="ac"/>
      <w:jc w:val="center"/>
    </w:pPr>
    <w:fldSimple w:instr=" PAGE   \* MERGEFORMAT ">
      <w:r w:rsidR="00510F66">
        <w:rPr>
          <w:noProof/>
        </w:rPr>
        <w:t>3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851438">
        <w:pPr>
          <w:pStyle w:val="ac"/>
          <w:jc w:val="center"/>
        </w:pPr>
        <w:fldSimple w:instr=" PAGE   \* MERGEFORMAT ">
          <w:r w:rsidR="00510F66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90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F66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438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56BD4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50</cp:revision>
  <cp:lastPrinted>2022-05-19T13:32:00Z</cp:lastPrinted>
  <dcterms:created xsi:type="dcterms:W3CDTF">2022-02-24T11:55:00Z</dcterms:created>
  <dcterms:modified xsi:type="dcterms:W3CDTF">2022-06-28T06:04:00Z</dcterms:modified>
</cp:coreProperties>
</file>